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Autospacing="0" w:afterAutospacing="0" w:line="360" w:lineRule="atLeast"/>
        <w:ind w:right="84"/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岭南师范学院2024年学历继续教育网络课程资源使用</w:t>
      </w:r>
    </w:p>
    <w:p>
      <w:pPr>
        <w:pStyle w:val="11"/>
        <w:shd w:val="clear" w:color="auto" w:fill="FFFFFF"/>
        <w:spacing w:beforeAutospacing="0" w:afterAutospacing="0" w:line="360" w:lineRule="atLeast"/>
        <w:ind w:right="84"/>
        <w:jc w:val="center"/>
        <w:rPr>
          <w:rFonts w:ascii="微软雅黑" w:hAnsi="微软雅黑" w:eastAsia="微软雅黑" w:cs="宋体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服务项目更正公告</w:t>
      </w:r>
      <w:bookmarkEnd w:id="0"/>
    </w:p>
    <w:p>
      <w:pPr>
        <w:widowControl/>
        <w:shd w:val="clear" w:color="auto" w:fill="FFFFFF"/>
        <w:spacing w:line="360" w:lineRule="atLeast"/>
        <w:rPr>
          <w:rFonts w:ascii="微软雅黑" w:hAnsi="微软雅黑" w:eastAsia="微软雅黑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 </w:t>
      </w:r>
    </w:p>
    <w:p>
      <w:pPr>
        <w:widowControl/>
        <w:shd w:val="clear" w:color="auto" w:fill="FFFFFF"/>
        <w:spacing w:line="360" w:lineRule="atLeast"/>
        <w:ind w:firstLine="420"/>
        <w:rPr>
          <w:rFonts w:ascii="微软雅黑" w:hAnsi="微软雅黑" w:cs="宋体"/>
          <w:kern w:val="0"/>
          <w:sz w:val="22"/>
          <w:highlight w:val="none"/>
        </w:rPr>
      </w:pPr>
      <w:r>
        <w:rPr>
          <w:rFonts w:hint="eastAsia" w:ascii="宋体" w:hAnsi="宋体" w:cs="Calibri"/>
          <w:kern w:val="0"/>
          <w:sz w:val="22"/>
          <w:highlight w:val="none"/>
        </w:rPr>
        <w:t>岭南师范学院2024年学历继续教育网络课程资源使用服务项目</w:t>
      </w:r>
      <w:r>
        <w:rPr>
          <w:rFonts w:hint="eastAsia" w:ascii="宋体" w:hAnsi="宋体" w:cs="宋体"/>
          <w:kern w:val="0"/>
          <w:sz w:val="22"/>
          <w:highlight w:val="none"/>
        </w:rPr>
        <w:t>（项目编号：ZLCG2024-0004）于</w:t>
      </w:r>
      <w:r>
        <w:rPr>
          <w:rFonts w:ascii="宋体" w:hAnsi="宋体" w:cs="Calibri"/>
          <w:kern w:val="0"/>
          <w:sz w:val="22"/>
          <w:highlight w:val="none"/>
        </w:rPr>
        <w:t>2024</w:t>
      </w:r>
      <w:r>
        <w:rPr>
          <w:rFonts w:hint="eastAsia" w:ascii="宋体" w:hAnsi="宋体" w:cs="宋体"/>
          <w:kern w:val="0"/>
          <w:sz w:val="22"/>
          <w:highlight w:val="none"/>
        </w:rPr>
        <w:t>年</w:t>
      </w:r>
      <w:r>
        <w:rPr>
          <w:rFonts w:hint="eastAsia" w:ascii="宋体" w:hAnsi="宋体" w:cs="Calibri"/>
          <w:kern w:val="0"/>
          <w:sz w:val="22"/>
          <w:highlight w:val="none"/>
        </w:rPr>
        <w:t>5</w:t>
      </w:r>
      <w:r>
        <w:rPr>
          <w:rFonts w:hint="eastAsia" w:ascii="宋体" w:hAnsi="宋体" w:cs="宋体"/>
          <w:kern w:val="0"/>
          <w:sz w:val="22"/>
          <w:highlight w:val="none"/>
        </w:rPr>
        <w:t>月</w:t>
      </w:r>
      <w:r>
        <w:rPr>
          <w:rFonts w:hint="eastAsia" w:ascii="宋体" w:hAnsi="宋体" w:cs="Calibri"/>
          <w:kern w:val="0"/>
          <w:sz w:val="22"/>
          <w:highlight w:val="none"/>
        </w:rPr>
        <w:t>8</w:t>
      </w:r>
      <w:r>
        <w:rPr>
          <w:rFonts w:hint="eastAsia" w:ascii="宋体" w:hAnsi="宋体" w:cs="宋体"/>
          <w:kern w:val="0"/>
          <w:sz w:val="22"/>
          <w:highlight w:val="none"/>
        </w:rPr>
        <w:t>日发布招标公告。现对原招标文件</w:t>
      </w:r>
      <w:r>
        <w:rPr>
          <w:rFonts w:hint="eastAsia" w:ascii="宋体" w:hAnsi="宋体" w:cs="宋体"/>
          <w:kern w:val="0"/>
          <w:sz w:val="22"/>
          <w:highlight w:val="none"/>
          <w:shd w:val="clear" w:color="auto" w:fill="FFFFFF"/>
        </w:rPr>
        <w:t>作出如下调整：</w:t>
      </w:r>
    </w:p>
    <w:p>
      <w:pPr>
        <w:widowControl/>
        <w:shd w:val="clear" w:color="auto" w:fill="FFFFFF"/>
        <w:spacing w:line="360" w:lineRule="atLeast"/>
        <w:ind w:firstLine="442" w:firstLineChars="200"/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2"/>
          <w:highlight w:val="none"/>
        </w:rPr>
        <w:t>一、原招标文件的修改</w:t>
      </w:r>
    </w:p>
    <w:tbl>
      <w:tblPr>
        <w:tblStyle w:val="13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382"/>
        <w:gridCol w:w="3925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条款号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原文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现文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1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招标文件第5页的“三、项目技术要求”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★3、为更好建设继续教育优质网络课程资源，保障网络直播教学质量，中标人需在校内建设2间直播室，并提供相关服务。合同期内，设备等资产的所有权归属于中标人，合作期满或者因中标人违约导致合同终止的，资产归招标人所有。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★3、为更好建设继续教育优质网络课程资源，保障网络直播教学质量，中标人需在校内建设2间直播室，并提供相关服务。合同期内，设备等资产的所有权归属于中标人，合作期满或者因中标人违约导致合同终止的，资产归招标人所有。中标人承诺2间直播室投资不低于10万元，由招标人审计或聘请第三方审计监督直播室建设支出，聘请第三方审计所需费用由中标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2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招标文件第24页的附件1常态录播（1间）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详见招标文件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详见本更正公告的附表1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ind w:left="425" w:hanging="312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3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招标文件第46页的附件1技术评审表：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课程资源演示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投标人提供本项目要求的专业所涉及的课程资源（共30门课程），进行现场演示。评审专家根据招标文件要求的课程，现场随机抽取5门课程，投标人统一对这5门课程进行现场演示，每个投标人演示时间不超过10分钟（不包含评审专家提问及解答时间）。根据演示的课程资源质量进行评分：</w:t>
            </w:r>
          </w:p>
          <w:p>
            <w:pPr>
              <w:widowControl/>
              <w:rPr>
                <w:rStyle w:val="21"/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1.优秀：教学资源完整，符合招标人的培养目标，完全符合或优于项目需求书的要求，课程视频画质清晰、声音清晰，得5分。</w:t>
            </w:r>
          </w:p>
          <w:p>
            <w:pPr>
              <w:widowControl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2.</w:t>
            </w:r>
            <w:r>
              <w:rPr>
                <w:rStyle w:val="21"/>
                <w:rFonts w:hint="eastAsia" w:ascii="宋体" w:hAnsi="宋体" w:cs="宋体"/>
                <w:sz w:val="22"/>
                <w:szCs w:val="22"/>
                <w:highlight w:val="none"/>
              </w:rPr>
              <w:t>良好：</w:t>
            </w:r>
            <w:r>
              <w:rPr>
                <w:rFonts w:hint="eastAsia" w:ascii="宋体" w:hAnsi="宋体" w:eastAsia="宋体" w:cs="宋体"/>
                <w:sz w:val="22"/>
                <w:highlight w:val="none"/>
              </w:rPr>
              <w:t>教学资源较完整，比较符合招标人的培养目标，符合项目需求书的要求，课程视频画质较清晰、声音较清晰，得3分。</w:t>
            </w:r>
          </w:p>
          <w:p>
            <w:pPr>
              <w:widowControl/>
              <w:rPr>
                <w:rStyle w:val="21"/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3.</w:t>
            </w:r>
            <w:r>
              <w:rPr>
                <w:rStyle w:val="21"/>
                <w:rFonts w:hint="eastAsia" w:ascii="宋体" w:hAnsi="宋体" w:cs="宋体"/>
                <w:sz w:val="22"/>
                <w:szCs w:val="22"/>
                <w:highlight w:val="none"/>
              </w:rPr>
              <w:t>一般：</w:t>
            </w:r>
            <w:r>
              <w:rPr>
                <w:rFonts w:hint="eastAsia" w:ascii="宋体" w:hAnsi="宋体" w:eastAsia="宋体" w:cs="宋体"/>
                <w:sz w:val="22"/>
                <w:highlight w:val="none"/>
              </w:rPr>
              <w:t>教学资源完整度一般，基本符合招标人的培养目标，基本符合项目需求书的要求，课程视频画质清晰度一般、声音清晰度一般，得1分。</w:t>
            </w:r>
          </w:p>
          <w:p>
            <w:pPr>
              <w:widowControl/>
              <w:rPr>
                <w:rFonts w:ascii="宋体" w:hAnsi="宋体" w:eastAsia="宋体" w:cs="宋体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4.</w:t>
            </w:r>
            <w:r>
              <w:rPr>
                <w:rStyle w:val="21"/>
                <w:rFonts w:hint="eastAsia" w:ascii="宋体" w:hAnsi="宋体" w:cs="宋体"/>
                <w:sz w:val="22"/>
                <w:szCs w:val="22"/>
                <w:highlight w:val="none"/>
              </w:rPr>
              <w:t>差：</w:t>
            </w:r>
            <w:r>
              <w:rPr>
                <w:rFonts w:hint="eastAsia" w:ascii="宋体" w:hAnsi="宋体" w:eastAsia="宋体" w:cs="宋体"/>
                <w:sz w:val="22"/>
                <w:highlight w:val="none"/>
              </w:rPr>
              <w:t>教学资源不完整，不符合招标人的培养目标，不符合项目需求书的要求，课程视频画质清晰度差、声音清晰度差，得0分。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</w:rPr>
              <w:t>5.不提供演示不得分，本项最高得5分。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投标人提供本项目要求的专业所涉及的课程资源（共30门课程），进行现场演示。评审专家根据招标文件要求的课程，现场随机抽取5门课程，投标人统一对这5门课程进行现场演示，每个投标人演示时间不超过10分钟（不包含评审专家提问及解答时间）。根据演示的课程资源质量进行评分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1.优秀：教学资源合法合规，内容完整，符合招标人的培养目标，完全符合或优于项目需求书的要求，课程视频画质清晰、声音清晰，得15分。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2.良好：教学资源合法合规，内容较完整，比较符合招标人的培养目标，符合项目需求书的要求，课程视频画质较清晰、声音较清晰，得10分。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3.一般：教学资源合法合规，内容完整度一般，基本符合招标人的培养目标，基本符合项目需求书的要求，课程视频画质清晰度一般、声音清晰度一般，得5分。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4.差：教学资源不完整，不符合招标人的培养目标，不符合项目需求书的要求，课程视频画质清晰度差、声音清晰度差，得0分。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5.不提供演示不得分，本项最高得15分。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ind w:left="425" w:hanging="312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4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招标文件第46页的附件1技术评审表：课程资源版权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投标人具有国家版权局颁发的课程资源作品登记证书，每提供1门课程的相关证书得1分，</w:t>
            </w:r>
            <w:r>
              <w:rPr>
                <w:rFonts w:hint="eastAsia" w:ascii="宋体" w:hAnsi="宋体"/>
                <w:sz w:val="22"/>
                <w:highlight w:val="none"/>
              </w:rPr>
              <w:t>最高得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10分，提供课程名称清单列表、证书复印件及国家版权局官网查询截图并加盖投标人公章。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删除此项评分设置。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1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ind w:left="425" w:hanging="312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5</w:t>
            </w:r>
          </w:p>
        </w:tc>
        <w:tc>
          <w:tcPr>
            <w:tcW w:w="1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招标文件第48页的附件2商务评审表：投标人研发实力</w:t>
            </w:r>
          </w:p>
        </w:tc>
        <w:tc>
          <w:tcPr>
            <w:tcW w:w="39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提供学习平台、实名认证注册、智能阅卷、缴费管理、教学统计、督导评教系统相关的软件著作权证书；每项内容提供一个计2分,缺项该项不得分，最高得10分。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注：证书应完整包括上述名称，提供以上证书复印件及证书颁发机构官方网站查询截图，加盖投标人公章，否则不予计分。</w:t>
            </w:r>
          </w:p>
        </w:tc>
        <w:tc>
          <w:tcPr>
            <w:tcW w:w="39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41"/>
              <w:widowControl/>
              <w:numPr>
                <w:ilvl w:val="-1"/>
                <w:numId w:val="0"/>
              </w:numPr>
              <w:ind w:left="0" w:firstLine="0" w:firstLineChars="0"/>
              <w:jc w:val="left"/>
              <w:rPr>
                <w:rFonts w:hint="eastAsia" w:ascii="宋体" w:hAnsi="宋体" w:cs="宋体" w:eastAsiaTheme="minorEastAsia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2"/>
                <w:highlight w:val="none"/>
              </w:rPr>
              <w:t>学习平台、2、实名认证注册、3、智能阅卷、4、缴费管理、5、教学统计、6、督导评教</w:t>
            </w:r>
            <w:r>
              <w:rPr>
                <w:rFonts w:hint="eastAsia" w:ascii="宋体" w:hAnsi="宋体" w:cs="宋体"/>
                <w:sz w:val="22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提供以上六项系统相关的软件著作权证书；每项内容任意提供一个计2.5分,缺项该项或重复该项不得分，最高得10分。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>注：提供以上相关证书复印件及证书颁发机构官方网站查询截图，加盖投标人公章，否则不予计分。</w:t>
            </w:r>
          </w:p>
        </w:tc>
      </w:tr>
    </w:tbl>
    <w:p>
      <w:pPr>
        <w:pStyle w:val="11"/>
        <w:widowControl/>
        <w:adjustRightInd w:val="0"/>
        <w:spacing w:beforeAutospacing="0" w:afterAutospacing="0" w:line="360" w:lineRule="auto"/>
        <w:ind w:firstLine="442" w:firstLineChars="200"/>
        <w:rPr>
          <w:rFonts w:ascii="宋体" w:hAnsi="宋体" w:cs="宋体"/>
          <w:b/>
          <w:bCs/>
          <w:sz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2"/>
          <w:highlight w:val="none"/>
          <w:shd w:val="clear" w:color="auto" w:fill="FFFFFF"/>
        </w:rPr>
        <w:t>二、本项目原定的招标公告：“四、提交投标文件截止时间、开标时间和地点：2024年5 月29日9点30分（北京时间）”，现修改为：“四、提交投标文件截止时间、开标时间和地点：2024年6 月13日9点30分（北京时间）”</w:t>
      </w:r>
    </w:p>
    <w:p>
      <w:pPr>
        <w:pStyle w:val="11"/>
        <w:widowControl/>
        <w:adjustRightInd w:val="0"/>
        <w:spacing w:beforeAutospacing="0" w:afterAutospacing="0" w:line="360" w:lineRule="auto"/>
        <w:ind w:firstLine="442" w:firstLineChars="200"/>
        <w:rPr>
          <w:rFonts w:ascii="宋体" w:hAnsi="宋体" w:cs="宋体"/>
          <w:b/>
          <w:bCs/>
          <w:sz w:val="22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sz w:val="22"/>
          <w:highlight w:val="none"/>
          <w:shd w:val="clear" w:color="auto" w:fill="FFFFFF"/>
        </w:rPr>
        <w:t>三、本更正公告为招标文件的组成部分，如对同一事项的表述与之前所发出的招标公告、招标文件不符，则以本更正公告为准，其他内容不变。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2"/>
          <w:highlight w:val="none"/>
        </w:rPr>
        <w:t xml:space="preserve">    特此公告！</w:t>
      </w:r>
    </w:p>
    <w:p>
      <w:pPr>
        <w:widowControl/>
        <w:shd w:val="clear" w:color="auto" w:fill="FFFFFF"/>
        <w:spacing w:line="360" w:lineRule="auto"/>
        <w:jc w:val="right"/>
        <w:rPr>
          <w:rFonts w:ascii="宋体" w:hAnsi="宋体" w:cs="宋体"/>
          <w:kern w:val="0"/>
          <w:sz w:val="22"/>
          <w:highlight w:val="none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kern w:val="0"/>
          <w:sz w:val="22"/>
          <w:highlight w:val="none"/>
        </w:rPr>
        <w:t xml:space="preserve">                                            招 标 人：岭南师范学院</w:t>
      </w:r>
    </w:p>
    <w:p>
      <w:pPr>
        <w:widowControl/>
        <w:shd w:val="clear" w:color="auto" w:fill="FFFFFF"/>
        <w:spacing w:line="360" w:lineRule="auto"/>
        <w:jc w:val="right"/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kern w:val="0"/>
          <w:sz w:val="22"/>
          <w:highlight w:val="none"/>
        </w:rPr>
        <w:t>招标代理：中量工程咨询有限公司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kern w:val="0"/>
          <w:sz w:val="22"/>
          <w:highlight w:val="none"/>
        </w:rPr>
        <w:t xml:space="preserve">                                              2024年5月27日</w:t>
      </w:r>
    </w:p>
    <w:p>
      <w:pPr>
        <w:rPr>
          <w:rFonts w:ascii="宋体" w:hAnsi="宋体" w:cs="宋体"/>
          <w:kern w:val="0"/>
          <w:sz w:val="22"/>
          <w:highlight w:val="none"/>
        </w:rPr>
      </w:pPr>
      <w:r>
        <w:rPr>
          <w:rFonts w:hint="eastAsia" w:ascii="宋体" w:hAnsi="宋体" w:cs="宋体"/>
          <w:kern w:val="0"/>
          <w:sz w:val="22"/>
          <w:highlight w:val="none"/>
        </w:rPr>
        <w:br w:type="page"/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2"/>
          <w:highlight w:val="none"/>
        </w:rPr>
        <w:t>附表1：</w:t>
      </w:r>
    </w:p>
    <w:p>
      <w:pPr>
        <w:jc w:val="center"/>
        <w:rPr>
          <w:rFonts w:ascii="宋体" w:hAnsi="宋体"/>
          <w:b/>
          <w:bCs/>
          <w:sz w:val="22"/>
          <w:highlight w:val="none"/>
        </w:rPr>
      </w:pPr>
      <w:r>
        <w:rPr>
          <w:rFonts w:hint="eastAsia" w:ascii="宋体" w:hAnsi="宋体"/>
          <w:b/>
          <w:bCs/>
          <w:sz w:val="22"/>
          <w:highlight w:val="none"/>
        </w:rPr>
        <w:t>常态录播（1间）</w:t>
      </w:r>
    </w:p>
    <w:tbl>
      <w:tblPr>
        <w:tblStyle w:val="1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00"/>
        <w:gridCol w:w="5550"/>
        <w:gridCol w:w="765"/>
        <w:gridCol w:w="720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设备名称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技术要求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智慧录课终端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整体设计要求：ARM嵌入式架构，基于Linux操作系统。要求采用一体式集成化设计，内置高清摄像、视音频互动、视频录制、实时直播、音频处理功能。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台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智慧视讯管理软件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1.管理方式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（1）采用B/S架构设计。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（2）支持对设备进行网络设置、系统参数设置等相关管理配置功能。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（3）支持自定义设备在关机状态下的上电后的触发模式。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（4）支持中英文双语版本。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（5）支持用户管理系统。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（6）支持通过本设备外接的数字高清摄像机进行远程配置，统一维护和管理界面，无需独立登录外接摄像机。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2.包含以下功能模块：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（1）录制应用。（2）网络导播。（3）视频互动。（4）音频处理。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高清摄像机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1.成像性能：采用不低于1/2.5英寸CMOS传感器，有效像素≥1130万。图像成像分辨率支持≥1920*1080；帧率最高可达30帧/秒。最大水平视场角≥49°，最大垂直视场角≥28.2。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2.安装方式：支持壁挂式安装方式。1) 摄像机管理软件采用B/S架构，支持通用浏览器直接访问进行管理。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台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云镜摄像机管理软件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录制面板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1.安装方式：支持讲台镶嵌式安装。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2.控制方式：支持通过网络连接进行设备控制。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3.一键式录播控制：支持录制、暂停、停止等控制功能。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4.一键式互动控制：支持互动发起、结束等控制功能。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5一键式直播控制：支持直播开始、结束等控制功能。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6.一键式系统电源控制：支持设备休眠、唤醒等控制功能。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数字话筒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支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交互智能平板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86寸。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台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讲台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智慧教学管理平台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1.信息管理系统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要求具备功能：（1）录播管理（2）多级平台对接（3）录制预约（4）资源颗粒度管理（5）视频专辑（6）公告发布（7）自动转码功能（8）虚拟切片（9）教学行为分析（10）文件检索（11）一键置灰（12）强制播放（13）流量统计（14）存储管理。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2.直播点播系统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为了保证系统兼容性，要求平台与录播主机为同一品牌。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桌椅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线材配件+安装施工</w:t>
            </w:r>
          </w:p>
        </w:tc>
        <w:tc>
          <w:tcPr>
            <w:tcW w:w="5550" w:type="dxa"/>
            <w:vAlign w:val="center"/>
          </w:tcPr>
          <w:p>
            <w:pPr>
              <w:pStyle w:val="4"/>
              <w:ind w:firstLine="0" w:firstLineChars="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高清线，网线等。</w:t>
            </w:r>
          </w:p>
        </w:tc>
        <w:tc>
          <w:tcPr>
            <w:tcW w:w="765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项</w:t>
            </w:r>
          </w:p>
        </w:tc>
        <w:tc>
          <w:tcPr>
            <w:tcW w:w="645" w:type="dxa"/>
            <w:vAlign w:val="center"/>
          </w:tcPr>
          <w:p>
            <w:pPr>
              <w:pStyle w:val="4"/>
              <w:ind w:firstLine="440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2"/>
          <w:highlight w:val="none"/>
        </w:rPr>
      </w:pPr>
      <w:r>
        <w:rPr>
          <w:rFonts w:hint="eastAsia" w:ascii="宋体" w:hAnsi="宋体"/>
          <w:b/>
          <w:bCs/>
          <w:sz w:val="22"/>
          <w:highlight w:val="none"/>
        </w:rPr>
        <w:t>注：</w:t>
      </w:r>
      <w:r>
        <w:rPr>
          <w:rFonts w:hint="eastAsia" w:ascii="宋体" w:hAnsi="宋体"/>
          <w:b/>
          <w:bCs/>
          <w:sz w:val="22"/>
          <w:highlight w:val="none"/>
          <w:lang w:val="en-US" w:eastAsia="zh-CN"/>
        </w:rPr>
        <w:t>1.</w:t>
      </w:r>
      <w:r>
        <w:rPr>
          <w:rFonts w:hint="eastAsia" w:ascii="宋体" w:hAnsi="宋体"/>
          <w:b/>
          <w:bCs/>
          <w:sz w:val="22"/>
          <w:highlight w:val="none"/>
        </w:rPr>
        <w:t>此表为1间直播室的基础软硬件要求，能达到录播+直播、回放点播的效果。本项目一共需要2间直播室，直播室投入使用后，中标人在合同期内无偿承担直播室的维修、维护、升级等相关工作，以保障招标人学历继续教育在线直播工作的正常顺利开展。</w:t>
      </w:r>
    </w:p>
    <w:p>
      <w:pPr>
        <w:ind w:firstLine="442" w:firstLineChars="200"/>
        <w:jc w:val="left"/>
        <w:rPr>
          <w:rFonts w:ascii="宋体" w:hAnsi="宋体"/>
          <w:b/>
          <w:bCs/>
          <w:sz w:val="22"/>
          <w:highlight w:val="none"/>
        </w:rPr>
      </w:pPr>
      <w:r>
        <w:rPr>
          <w:rFonts w:hint="eastAsia" w:ascii="宋体" w:hAnsi="宋体"/>
          <w:b/>
          <w:bCs/>
          <w:sz w:val="22"/>
          <w:highlight w:val="none"/>
          <w:lang w:val="en-US" w:eastAsia="zh-CN"/>
        </w:rPr>
        <w:t>2.</w:t>
      </w:r>
      <w:r>
        <w:rPr>
          <w:rFonts w:hint="eastAsia" w:ascii="宋体" w:hAnsi="宋体"/>
          <w:b/>
          <w:bCs/>
          <w:sz w:val="22"/>
          <w:highlight w:val="none"/>
        </w:rPr>
        <w:t>中标人直播室建设前，应向</w:t>
      </w:r>
      <w:r>
        <w:rPr>
          <w:rFonts w:hint="eastAsia" w:ascii="宋体" w:hAnsi="宋体"/>
          <w:b/>
          <w:bCs/>
          <w:sz w:val="22"/>
          <w:highlight w:val="none"/>
          <w:lang w:val="en-US" w:eastAsia="zh-CN"/>
        </w:rPr>
        <w:t>招标人</w:t>
      </w:r>
      <w:r>
        <w:rPr>
          <w:rFonts w:hint="eastAsia" w:ascii="宋体" w:hAnsi="宋体"/>
          <w:b/>
          <w:bCs/>
          <w:sz w:val="22"/>
          <w:highlight w:val="none"/>
        </w:rPr>
        <w:t>提供建设方案，获批准后建设。在建设过程中损害到</w:t>
      </w:r>
      <w:r>
        <w:rPr>
          <w:rFonts w:hint="eastAsia" w:ascii="宋体" w:hAnsi="宋体"/>
          <w:b/>
          <w:bCs/>
          <w:sz w:val="22"/>
          <w:highlight w:val="none"/>
          <w:lang w:val="en-US" w:eastAsia="zh-CN"/>
        </w:rPr>
        <w:t>招标人</w:t>
      </w:r>
      <w:r>
        <w:rPr>
          <w:rFonts w:hint="eastAsia" w:ascii="宋体" w:hAnsi="宋体"/>
          <w:b/>
          <w:bCs/>
          <w:sz w:val="22"/>
          <w:highlight w:val="none"/>
        </w:rPr>
        <w:t>利益的（如：造成地面、墙面、设施、绿化等），须按要求原样修复，否则，</w:t>
      </w:r>
      <w:r>
        <w:rPr>
          <w:rFonts w:hint="eastAsia" w:ascii="宋体" w:hAnsi="宋体"/>
          <w:b/>
          <w:bCs/>
          <w:sz w:val="22"/>
          <w:highlight w:val="none"/>
          <w:lang w:val="en-US" w:eastAsia="zh-CN"/>
        </w:rPr>
        <w:t>招标人</w:t>
      </w:r>
      <w:r>
        <w:rPr>
          <w:rFonts w:hint="eastAsia" w:ascii="宋体" w:hAnsi="宋体"/>
          <w:b/>
          <w:bCs/>
          <w:sz w:val="22"/>
          <w:highlight w:val="none"/>
        </w:rPr>
        <w:t>聘请第三方予以维修，其费用由中标人承担。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 w:val="22"/>
          <w:highlight w:val="none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GRlN2RhZjgzNWE4ZTJlZjNhYWQzYzMzY2ZmNDgifQ=="/>
  </w:docVars>
  <w:rsids>
    <w:rsidRoot w:val="004D7B21"/>
    <w:rsid w:val="000225EF"/>
    <w:rsid w:val="001434CE"/>
    <w:rsid w:val="004D7B21"/>
    <w:rsid w:val="0054122D"/>
    <w:rsid w:val="0054517B"/>
    <w:rsid w:val="006252AE"/>
    <w:rsid w:val="008B4D58"/>
    <w:rsid w:val="00944A29"/>
    <w:rsid w:val="00A63D01"/>
    <w:rsid w:val="00A86611"/>
    <w:rsid w:val="00E806F7"/>
    <w:rsid w:val="00E913F2"/>
    <w:rsid w:val="00F56AC7"/>
    <w:rsid w:val="012A218C"/>
    <w:rsid w:val="01A610CA"/>
    <w:rsid w:val="036547B2"/>
    <w:rsid w:val="04935B9A"/>
    <w:rsid w:val="05E80E12"/>
    <w:rsid w:val="07410D64"/>
    <w:rsid w:val="07E14EC4"/>
    <w:rsid w:val="08215516"/>
    <w:rsid w:val="08224A30"/>
    <w:rsid w:val="0A103D46"/>
    <w:rsid w:val="0CED2886"/>
    <w:rsid w:val="0D135CBF"/>
    <w:rsid w:val="0E602D9E"/>
    <w:rsid w:val="11F4054A"/>
    <w:rsid w:val="12245AF8"/>
    <w:rsid w:val="12B54810"/>
    <w:rsid w:val="13103E70"/>
    <w:rsid w:val="13C20EF5"/>
    <w:rsid w:val="153B6599"/>
    <w:rsid w:val="15D87EFC"/>
    <w:rsid w:val="16796A4B"/>
    <w:rsid w:val="17F6775A"/>
    <w:rsid w:val="18187335"/>
    <w:rsid w:val="189C7C54"/>
    <w:rsid w:val="18D17F81"/>
    <w:rsid w:val="1A264E99"/>
    <w:rsid w:val="1B3D0676"/>
    <w:rsid w:val="1BC037CA"/>
    <w:rsid w:val="1C5D03FB"/>
    <w:rsid w:val="1CCD4E15"/>
    <w:rsid w:val="1CFC1EDD"/>
    <w:rsid w:val="1D6C4859"/>
    <w:rsid w:val="1EF46CCD"/>
    <w:rsid w:val="1F394761"/>
    <w:rsid w:val="20821C90"/>
    <w:rsid w:val="21562C7C"/>
    <w:rsid w:val="217001E2"/>
    <w:rsid w:val="21D248A8"/>
    <w:rsid w:val="222D46E6"/>
    <w:rsid w:val="226242E6"/>
    <w:rsid w:val="24B6729C"/>
    <w:rsid w:val="254B0FCD"/>
    <w:rsid w:val="26FF1804"/>
    <w:rsid w:val="27102ED4"/>
    <w:rsid w:val="27A1211A"/>
    <w:rsid w:val="2A0E1B30"/>
    <w:rsid w:val="2B312790"/>
    <w:rsid w:val="2B6862D1"/>
    <w:rsid w:val="2BA705F6"/>
    <w:rsid w:val="2F8902E8"/>
    <w:rsid w:val="2FC5794B"/>
    <w:rsid w:val="30B55C11"/>
    <w:rsid w:val="327E2CEF"/>
    <w:rsid w:val="33AE66B2"/>
    <w:rsid w:val="34E940DB"/>
    <w:rsid w:val="35244575"/>
    <w:rsid w:val="36F771EB"/>
    <w:rsid w:val="390D6387"/>
    <w:rsid w:val="3933050D"/>
    <w:rsid w:val="39C944DB"/>
    <w:rsid w:val="39D6533A"/>
    <w:rsid w:val="3D1617E6"/>
    <w:rsid w:val="3DDD7661"/>
    <w:rsid w:val="3E03620E"/>
    <w:rsid w:val="3E1C72D0"/>
    <w:rsid w:val="3EC31DB5"/>
    <w:rsid w:val="3F9425AE"/>
    <w:rsid w:val="404E4FC4"/>
    <w:rsid w:val="409E2A9B"/>
    <w:rsid w:val="411918A4"/>
    <w:rsid w:val="416F0EAD"/>
    <w:rsid w:val="41B86D2E"/>
    <w:rsid w:val="44990C74"/>
    <w:rsid w:val="451B06B5"/>
    <w:rsid w:val="469D4D26"/>
    <w:rsid w:val="46A220FC"/>
    <w:rsid w:val="471B27F9"/>
    <w:rsid w:val="479E7280"/>
    <w:rsid w:val="48056263"/>
    <w:rsid w:val="480E7CDC"/>
    <w:rsid w:val="49AB7362"/>
    <w:rsid w:val="4C436C35"/>
    <w:rsid w:val="4E475C79"/>
    <w:rsid w:val="4FBF5D0D"/>
    <w:rsid w:val="500446B9"/>
    <w:rsid w:val="514B6A3D"/>
    <w:rsid w:val="52770B21"/>
    <w:rsid w:val="53090A48"/>
    <w:rsid w:val="53EA26FE"/>
    <w:rsid w:val="541A3254"/>
    <w:rsid w:val="557921AB"/>
    <w:rsid w:val="55A30548"/>
    <w:rsid w:val="55AF239C"/>
    <w:rsid w:val="55D47E5C"/>
    <w:rsid w:val="56DE115A"/>
    <w:rsid w:val="57CA5728"/>
    <w:rsid w:val="589113DD"/>
    <w:rsid w:val="58A67A23"/>
    <w:rsid w:val="58B744E4"/>
    <w:rsid w:val="5A9467BF"/>
    <w:rsid w:val="5B023F52"/>
    <w:rsid w:val="5B49753A"/>
    <w:rsid w:val="5EF413A7"/>
    <w:rsid w:val="5F3A53B0"/>
    <w:rsid w:val="5FB370FF"/>
    <w:rsid w:val="5FBB764A"/>
    <w:rsid w:val="60172FFB"/>
    <w:rsid w:val="60E05AE3"/>
    <w:rsid w:val="611A1DE5"/>
    <w:rsid w:val="61EF7677"/>
    <w:rsid w:val="6215292A"/>
    <w:rsid w:val="62200B5A"/>
    <w:rsid w:val="62796B4D"/>
    <w:rsid w:val="630F7BE2"/>
    <w:rsid w:val="64386FB5"/>
    <w:rsid w:val="646E0010"/>
    <w:rsid w:val="64874BF3"/>
    <w:rsid w:val="65E12B4A"/>
    <w:rsid w:val="661459D4"/>
    <w:rsid w:val="66320B8F"/>
    <w:rsid w:val="678B2C5A"/>
    <w:rsid w:val="67CE0D8B"/>
    <w:rsid w:val="67FE6125"/>
    <w:rsid w:val="685116AB"/>
    <w:rsid w:val="693D2F6D"/>
    <w:rsid w:val="6ABF29D2"/>
    <w:rsid w:val="6B454EC0"/>
    <w:rsid w:val="6B5A0A1B"/>
    <w:rsid w:val="6B5D66AE"/>
    <w:rsid w:val="6C0379AD"/>
    <w:rsid w:val="6CDB1509"/>
    <w:rsid w:val="6CE20650"/>
    <w:rsid w:val="6D6655C2"/>
    <w:rsid w:val="6D785A21"/>
    <w:rsid w:val="6E82467D"/>
    <w:rsid w:val="7012558D"/>
    <w:rsid w:val="72031EB2"/>
    <w:rsid w:val="74376EA7"/>
    <w:rsid w:val="743D2DA9"/>
    <w:rsid w:val="74B265E3"/>
    <w:rsid w:val="75047B9A"/>
    <w:rsid w:val="76330BC2"/>
    <w:rsid w:val="776F5E9A"/>
    <w:rsid w:val="779807BE"/>
    <w:rsid w:val="77E872FF"/>
    <w:rsid w:val="783842E3"/>
    <w:rsid w:val="79B86167"/>
    <w:rsid w:val="7AAC5332"/>
    <w:rsid w:val="7B18614D"/>
    <w:rsid w:val="7C6A1A97"/>
    <w:rsid w:val="7CCC5337"/>
    <w:rsid w:val="7DDD367E"/>
    <w:rsid w:val="7E1F35D8"/>
    <w:rsid w:val="7E5574DE"/>
    <w:rsid w:val="7E5576B9"/>
    <w:rsid w:val="7F112A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annotation text"/>
    <w:basedOn w:val="1"/>
    <w:link w:val="44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szCs w:val="20"/>
    </w:rPr>
  </w:style>
  <w:style w:type="paragraph" w:styleId="7">
    <w:name w:val="Plain Text"/>
    <w:basedOn w:val="1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43"/>
    <w:semiHidden/>
    <w:unhideWhenUsed/>
    <w:uiPriority w:val="99"/>
    <w:rPr>
      <w:sz w:val="18"/>
      <w:szCs w:val="18"/>
    </w:rPr>
  </w:style>
  <w:style w:type="paragraph" w:styleId="9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45"/>
    <w:semiHidden/>
    <w:unhideWhenUsed/>
    <w:uiPriority w:val="99"/>
    <w:rPr>
      <w:b/>
      <w:bCs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579EDB"/>
      <w:u w:val="non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autoRedefine/>
    <w:semiHidden/>
    <w:unhideWhenUsed/>
    <w:qFormat/>
    <w:uiPriority w:val="99"/>
    <w:rPr>
      <w:i/>
      <w:iCs/>
    </w:rPr>
  </w:style>
  <w:style w:type="character" w:styleId="19">
    <w:name w:val="Hyperlink"/>
    <w:basedOn w:val="14"/>
    <w:autoRedefine/>
    <w:semiHidden/>
    <w:unhideWhenUsed/>
    <w:qFormat/>
    <w:uiPriority w:val="99"/>
    <w:rPr>
      <w:color w:val="579EDB"/>
      <w:u w:val="none"/>
    </w:rPr>
  </w:style>
  <w:style w:type="character" w:styleId="20">
    <w:name w:val="HTML Code"/>
    <w:basedOn w:val="14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styleId="22">
    <w:name w:val="HTML Keyboard"/>
    <w:basedOn w:val="14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4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hover"/>
    <w:basedOn w:val="14"/>
    <w:autoRedefine/>
    <w:qFormat/>
    <w:uiPriority w:val="0"/>
    <w:rPr>
      <w:shd w:val="clear" w:color="auto" w:fill="EEEEEE"/>
    </w:rPr>
  </w:style>
  <w:style w:type="character" w:customStyle="1" w:styleId="25">
    <w:name w:val="hover1"/>
    <w:basedOn w:val="14"/>
    <w:autoRedefine/>
    <w:qFormat/>
    <w:uiPriority w:val="0"/>
    <w:rPr>
      <w:shd w:val="clear" w:color="auto" w:fill="F6F8F8"/>
    </w:rPr>
  </w:style>
  <w:style w:type="character" w:customStyle="1" w:styleId="26">
    <w:name w:val="old"/>
    <w:basedOn w:val="14"/>
    <w:autoRedefine/>
    <w:qFormat/>
    <w:uiPriority w:val="0"/>
    <w:rPr>
      <w:color w:val="999999"/>
    </w:rPr>
  </w:style>
  <w:style w:type="character" w:customStyle="1" w:styleId="27">
    <w:name w:val="old1"/>
    <w:basedOn w:val="14"/>
    <w:autoRedefine/>
    <w:qFormat/>
    <w:uiPriority w:val="0"/>
    <w:rPr>
      <w:color w:val="777777"/>
    </w:rPr>
  </w:style>
  <w:style w:type="character" w:customStyle="1" w:styleId="28">
    <w:name w:val="hour_am"/>
    <w:basedOn w:val="14"/>
    <w:autoRedefine/>
    <w:qFormat/>
    <w:uiPriority w:val="0"/>
  </w:style>
  <w:style w:type="character" w:customStyle="1" w:styleId="29">
    <w:name w:val="hour_pm"/>
    <w:basedOn w:val="14"/>
    <w:autoRedefine/>
    <w:qFormat/>
    <w:uiPriority w:val="0"/>
  </w:style>
  <w:style w:type="character" w:customStyle="1" w:styleId="30">
    <w:name w:val="button"/>
    <w:basedOn w:val="14"/>
    <w:autoRedefine/>
    <w:qFormat/>
    <w:uiPriority w:val="0"/>
  </w:style>
  <w:style w:type="character" w:customStyle="1" w:styleId="31">
    <w:name w:val="tmpztreemove_arrow"/>
    <w:basedOn w:val="14"/>
    <w:autoRedefine/>
    <w:qFormat/>
    <w:uiPriority w:val="0"/>
  </w:style>
  <w:style w:type="character" w:customStyle="1" w:styleId="32">
    <w:name w:val="layui-layer-tabnow"/>
    <w:basedOn w:val="14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33">
    <w:name w:val="glyphicon4"/>
    <w:basedOn w:val="14"/>
    <w:autoRedefine/>
    <w:qFormat/>
    <w:uiPriority w:val="0"/>
    <w:rPr>
      <w:color w:val="579EDB"/>
      <w:sz w:val="37"/>
      <w:szCs w:val="37"/>
    </w:rPr>
  </w:style>
  <w:style w:type="character" w:customStyle="1" w:styleId="34">
    <w:name w:val="new"/>
    <w:basedOn w:val="14"/>
    <w:autoRedefine/>
    <w:qFormat/>
    <w:uiPriority w:val="0"/>
    <w:rPr>
      <w:color w:val="777777"/>
    </w:rPr>
  </w:style>
  <w:style w:type="character" w:customStyle="1" w:styleId="35">
    <w:name w:val="first-child"/>
    <w:basedOn w:val="14"/>
    <w:autoRedefine/>
    <w:qFormat/>
    <w:uiPriority w:val="0"/>
  </w:style>
  <w:style w:type="character" w:customStyle="1" w:styleId="36">
    <w:name w:val="no_ioc"/>
    <w:basedOn w:val="14"/>
    <w:autoRedefine/>
    <w:qFormat/>
    <w:uiPriority w:val="0"/>
  </w:style>
  <w:style w:type="character" w:customStyle="1" w:styleId="37">
    <w:name w:val="glyphicon"/>
    <w:basedOn w:val="14"/>
    <w:autoRedefine/>
    <w:qFormat/>
    <w:uiPriority w:val="0"/>
    <w:rPr>
      <w:color w:val="579EDB"/>
      <w:sz w:val="37"/>
      <w:szCs w:val="37"/>
    </w:rPr>
  </w:style>
  <w:style w:type="character" w:customStyle="1" w:styleId="38">
    <w:name w:val="hover6"/>
    <w:basedOn w:val="14"/>
    <w:autoRedefine/>
    <w:qFormat/>
    <w:uiPriority w:val="0"/>
    <w:rPr>
      <w:shd w:val="clear" w:color="auto" w:fill="F6F8F8"/>
    </w:rPr>
  </w:style>
  <w:style w:type="character" w:customStyle="1" w:styleId="39">
    <w:name w:val="hover7"/>
    <w:basedOn w:val="14"/>
    <w:autoRedefine/>
    <w:qFormat/>
    <w:uiPriority w:val="0"/>
    <w:rPr>
      <w:shd w:val="clear" w:color="auto" w:fill="EEEEEE"/>
    </w:rPr>
  </w:style>
  <w:style w:type="character" w:customStyle="1" w:styleId="40">
    <w:name w:val="glyphicon3"/>
    <w:basedOn w:val="14"/>
    <w:autoRedefine/>
    <w:qFormat/>
    <w:uiPriority w:val="0"/>
    <w:rPr>
      <w:color w:val="579EDB"/>
      <w:sz w:val="37"/>
      <w:szCs w:val="37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批注框文本 Char"/>
    <w:basedOn w:val="14"/>
    <w:link w:val="8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文字 Char"/>
    <w:basedOn w:val="14"/>
    <w:link w:val="5"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Char"/>
    <w:basedOn w:val="44"/>
    <w:link w:val="12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2857</Words>
  <Characters>2974</Characters>
  <Lines>22</Lines>
  <Paragraphs>6</Paragraphs>
  <TotalTime>7</TotalTime>
  <ScaleCrop>false</ScaleCrop>
  <LinksUpToDate>false</LinksUpToDate>
  <CharactersWithSpaces>3074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2024-05-27T07:33:00Z</dcterms:created>
  <dc:creator>ZBB1</dc:creator>
  <cp:lastModifiedBy>ZCL-</cp:lastModifiedBy>
  <cp:lastPrinted>2024-01-19T06:54:00Z</cp:lastPrinted>
  <dcterms:modified xsi:type="dcterms:W3CDTF">2024-05-27T08:52:59Z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FB117523C58D47509CD6A0460A15366D_13</vt:lpwstr>
  </property>
</Properties>
</file>